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 Black" w:cs="Arial Black" w:eastAsia="Arial Black" w:hAnsi="Arial Black"/>
          <w:sz w:val="28"/>
          <w:szCs w:val="28"/>
        </w:rPr>
      </w:pPr>
      <w:r w:rsidDel="00000000" w:rsidR="00000000" w:rsidRPr="00000000">
        <w:rPr>
          <w:rFonts w:ascii="Arial Black" w:cs="Arial Black" w:eastAsia="Arial Black" w:hAnsi="Arial Black"/>
          <w:sz w:val="28"/>
          <w:szCs w:val="28"/>
          <w:rtl w:val="0"/>
        </w:rPr>
        <w:t xml:space="preserve">MOI TEA GIRLS SECONDARY SCHOOL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 Black" w:cs="Arial Black" w:eastAsia="Arial Black" w:hAnsi="Arial Black"/>
          <w:sz w:val="28"/>
          <w:szCs w:val="28"/>
        </w:rPr>
      </w:pPr>
      <w:r w:rsidDel="00000000" w:rsidR="00000000" w:rsidRPr="00000000">
        <w:rPr>
          <w:rFonts w:ascii="Arial Black" w:cs="Arial Black" w:eastAsia="Arial Black" w:hAnsi="Arial Black"/>
          <w:sz w:val="28"/>
          <w:szCs w:val="28"/>
          <w:rtl w:val="0"/>
        </w:rPr>
        <w:t xml:space="preserve">SEPTEMBER POST MOCK – 1 (2019)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 Black" w:cs="Arial Black" w:eastAsia="Arial Black" w:hAnsi="Arial Black"/>
          <w:i w:val="1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i w:val="1"/>
          <w:sz w:val="20"/>
          <w:szCs w:val="20"/>
          <w:rtl w:val="0"/>
        </w:rPr>
        <w:t xml:space="preserve">Kenya Certificate of Secondary Education (K.C.S.E.)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 Black" w:cs="Arial Black" w:eastAsia="Arial Black" w:hAnsi="Arial Black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7f7f7f" w:space="1" w:sz="12" w:val="single"/>
        </w:pBdr>
        <w:tabs>
          <w:tab w:val="center" w:pos="5040"/>
          <w:tab w:val="right" w:pos="10440"/>
        </w:tabs>
        <w:spacing w:after="0" w:line="240" w:lineRule="auto"/>
        <w:rPr>
          <w:rFonts w:ascii="Arial Black" w:cs="Arial Black" w:eastAsia="Arial Black" w:hAnsi="Arial Black"/>
          <w:b w:val="1"/>
          <w:sz w:val="48"/>
          <w:szCs w:val="48"/>
        </w:rPr>
      </w:pPr>
      <w:r w:rsidDel="00000000" w:rsidR="00000000" w:rsidRPr="00000000">
        <w:rPr>
          <w:rFonts w:ascii="Arial Black" w:cs="Arial Black" w:eastAsia="Arial Black" w:hAnsi="Arial Black"/>
          <w:b w:val="1"/>
          <w:sz w:val="48"/>
          <w:szCs w:val="48"/>
          <w:rtl w:val="0"/>
        </w:rPr>
        <w:t xml:space="preserve">311/1 -</w:t>
        <w:tab/>
        <w:t xml:space="preserve">HISTORY &amp; GOVT. </w:t>
        <w:tab/>
        <w:t xml:space="preserve">- Paper 1</w:t>
      </w:r>
    </w:p>
    <w:p w:rsidR="00000000" w:rsidDel="00000000" w:rsidP="00000000" w:rsidRDefault="00000000" w:rsidRPr="00000000" w14:paraId="00000006">
      <w:pPr>
        <w:widowControl w:val="0"/>
        <w:pBdr>
          <w:bottom w:color="7f7f7f" w:space="1" w:sz="12" w:val="single"/>
        </w:pBdr>
        <w:tabs>
          <w:tab w:val="center" w:pos="5040"/>
          <w:tab w:val="right" w:pos="10440"/>
        </w:tabs>
        <w:spacing w:after="0" w:line="240" w:lineRule="auto"/>
        <w:jc w:val="center"/>
        <w:rPr>
          <w:rFonts w:ascii="Arial Black" w:cs="Arial Black" w:eastAsia="Arial Black" w:hAnsi="Arial Black"/>
          <w:b w:val="1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b w:val="1"/>
          <w:sz w:val="32"/>
          <w:szCs w:val="32"/>
          <w:rtl w:val="0"/>
        </w:rPr>
        <w:t xml:space="preserve">2 ½ HOURS</w:t>
      </w:r>
    </w:p>
    <w:p w:rsidR="00000000" w:rsidDel="00000000" w:rsidP="00000000" w:rsidRDefault="00000000" w:rsidRPr="00000000" w14:paraId="00000007">
      <w:pPr>
        <w:widowControl w:val="0"/>
        <w:tabs>
          <w:tab w:val="center" w:pos="5040"/>
          <w:tab w:val="right" w:pos="10440"/>
        </w:tabs>
        <w:spacing w:after="0" w:line="240" w:lineRule="auto"/>
        <w:jc w:val="center"/>
        <w:rPr>
          <w:rFonts w:ascii="Arial Black" w:cs="Arial Black" w:eastAsia="Arial Black" w:hAnsi="Arial Black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5760"/>
          <w:tab w:val="right" w:pos="10440"/>
        </w:tabs>
        <w:spacing w:after="0" w:line="480" w:lineRule="auto"/>
        <w:rPr>
          <w:rFonts w:ascii="Arial Black" w:cs="Arial Black" w:eastAsia="Arial Black" w:hAnsi="Arial Black"/>
          <w:b w:val="1"/>
        </w:rPr>
      </w:pPr>
      <w:r w:rsidDel="00000000" w:rsidR="00000000" w:rsidRPr="00000000">
        <w:rPr>
          <w:rFonts w:ascii="Arial Black" w:cs="Arial Black" w:eastAsia="Arial Black" w:hAnsi="Arial Black"/>
          <w:b w:val="1"/>
          <w:rtl w:val="0"/>
        </w:rPr>
        <w:t xml:space="preserve">Name:</w:t>
        <w:tab/>
        <w:t xml:space="preserve"> Index No: </w:t>
        <w:tab/>
      </w:r>
    </w:p>
    <w:p w:rsidR="00000000" w:rsidDel="00000000" w:rsidP="00000000" w:rsidRDefault="00000000" w:rsidRPr="00000000" w14:paraId="00000009">
      <w:pPr>
        <w:tabs>
          <w:tab w:val="left" w:pos="5760"/>
          <w:tab w:val="right" w:pos="10440"/>
        </w:tabs>
        <w:spacing w:after="0" w:line="480" w:lineRule="auto"/>
        <w:rPr>
          <w:rFonts w:ascii="Arial Black" w:cs="Arial Black" w:eastAsia="Arial Black" w:hAnsi="Arial Black"/>
          <w:b w:val="1"/>
        </w:rPr>
      </w:pPr>
      <w:r w:rsidDel="00000000" w:rsidR="00000000" w:rsidRPr="00000000">
        <w:rPr>
          <w:rFonts w:ascii="Arial Black" w:cs="Arial Black" w:eastAsia="Arial Black" w:hAnsi="Arial Black"/>
          <w:b w:val="1"/>
          <w:rtl w:val="0"/>
        </w:rPr>
        <w:t xml:space="preserve">Candidate’s Signature</w:t>
        <w:tab/>
        <w:t xml:space="preserve"> Date</w:t>
        <w:tab/>
      </w:r>
    </w:p>
    <w:p w:rsidR="00000000" w:rsidDel="00000000" w:rsidP="00000000" w:rsidRDefault="00000000" w:rsidRPr="00000000" w14:paraId="0000000A">
      <w:pPr>
        <w:tabs>
          <w:tab w:val="right" w:pos="10440"/>
        </w:tabs>
        <w:spacing w:after="0" w:line="480" w:lineRule="auto"/>
        <w:rPr>
          <w:rFonts w:ascii="Arial Black" w:cs="Arial Black" w:eastAsia="Arial Black" w:hAnsi="Arial Black"/>
          <w:b w:val="1"/>
        </w:rPr>
      </w:pPr>
      <w:r w:rsidDel="00000000" w:rsidR="00000000" w:rsidRPr="00000000">
        <w:rPr>
          <w:rFonts w:ascii="Arial Black" w:cs="Arial Black" w:eastAsia="Arial Black" w:hAnsi="Arial Black"/>
          <w:b w:val="1"/>
          <w:rtl w:val="0"/>
        </w:rPr>
        <w:t xml:space="preserve">School: </w:t>
        <w:tab/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jc w:val="both"/>
        <w:rPr>
          <w:rFonts w:ascii="Arial Black" w:cs="Arial Black" w:eastAsia="Arial Black" w:hAnsi="Arial Black"/>
          <w:b w:val="1"/>
          <w:sz w:val="28"/>
          <w:szCs w:val="28"/>
        </w:rPr>
      </w:pPr>
      <w:r w:rsidDel="00000000" w:rsidR="00000000" w:rsidRPr="00000000">
        <w:rPr>
          <w:rFonts w:ascii="Arial Black" w:cs="Arial Black" w:eastAsia="Arial Black" w:hAnsi="Arial Black"/>
          <w:b w:val="1"/>
          <w:sz w:val="28"/>
          <w:szCs w:val="28"/>
          <w:rtl w:val="0"/>
        </w:rPr>
        <w:t xml:space="preserve">Instructions to candidates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Write your </w:t>
      </w: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name, index number </w:t>
      </w: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and the</w:t>
      </w: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 name</w:t>
      </w: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 of your school in the spaces provided above.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Sign </w:t>
      </w: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write </w:t>
      </w: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 date</w:t>
      </w: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 of examination in the spaces provided above.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This paper consists of THREE sections A, B and C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Answer ALL questions in section A (25 marks)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Answer any THREE questions in section B (45 marks)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Answer any TWO questions in section C (30 marks)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sz w:val="26"/>
          <w:szCs w:val="26"/>
          <w:rtl w:val="0"/>
        </w:rPr>
        <w:t xml:space="preserve">All answers must be written in the answer booklet provided.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This paper consists of </w:t>
      </w: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</w:rPr>
        <w:fldChar w:fldCharType="begin"/>
        <w:instrText xml:space="preserve">NUMPAGES</w:instrText>
        <w:fldChar w:fldCharType="separate"/>
        <w:fldChar w:fldCharType="end"/>
      </w: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 printed pages.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Candidates should check to ascertain that all pages are printed as indicated and that no questions are missing.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120" w:line="240" w:lineRule="auto"/>
        <w:ind w:left="720" w:hanging="72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6"/>
          <w:szCs w:val="26"/>
          <w:rtl w:val="0"/>
        </w:rPr>
        <w:t xml:space="preserve">Candidates should answer all the questions in English</w:t>
      </w:r>
    </w:p>
    <w:p w:rsidR="00000000" w:rsidDel="00000000" w:rsidP="00000000" w:rsidRDefault="00000000" w:rsidRPr="00000000" w14:paraId="00000016">
      <w:pPr>
        <w:widowControl w:val="0"/>
        <w:spacing w:after="0" w:line="360" w:lineRule="auto"/>
        <w:jc w:val="center"/>
        <w:rPr>
          <w:rFonts w:ascii="Arial Black" w:cs="Arial Black" w:eastAsia="Arial Black" w:hAnsi="Arial Black"/>
          <w:b w:val="1"/>
          <w:sz w:val="28"/>
          <w:szCs w:val="28"/>
        </w:rPr>
      </w:pPr>
      <w:r w:rsidDel="00000000" w:rsidR="00000000" w:rsidRPr="00000000">
        <w:rPr>
          <w:rFonts w:ascii="Arial Black" w:cs="Arial Black" w:eastAsia="Arial Black" w:hAnsi="Arial Black"/>
          <w:b w:val="1"/>
          <w:sz w:val="28"/>
          <w:szCs w:val="28"/>
          <w:rtl w:val="0"/>
        </w:rPr>
        <w:t xml:space="preserve">For Examiner’s Use Only</w:t>
      </w:r>
    </w:p>
    <w:tbl>
      <w:tblPr>
        <w:tblStyle w:val="Table1"/>
        <w:tblW w:w="8508.0" w:type="dxa"/>
        <w:jc w:val="left"/>
        <w:tblInd w:w="468.0" w:type="dxa"/>
        <w:tblLayout w:type="fixed"/>
        <w:tblLook w:val="0000"/>
      </w:tblPr>
      <w:tblGrid>
        <w:gridCol w:w="2448"/>
        <w:gridCol w:w="2584"/>
        <w:gridCol w:w="3476"/>
        <w:tblGridChange w:id="0">
          <w:tblGrid>
            <w:gridCol w:w="2448"/>
            <w:gridCol w:w="2584"/>
            <w:gridCol w:w="3476"/>
          </w:tblGrid>
        </w:tblGridChange>
      </w:tblGrid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360" w:lineRule="auto"/>
              <w:jc w:val="center"/>
              <w:rPr>
                <w:smallCap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1"/>
                <w:sz w:val="28"/>
                <w:szCs w:val="28"/>
                <w:rtl w:val="0"/>
              </w:rPr>
              <w:t xml:space="preserve">SECTION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36576" distT="36576" distL="36576" distR="36576" hidden="0" layoutInCell="1" locked="0" relativeHeight="0" simplePos="0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7239000</wp:posOffset>
                      </wp:positionV>
                      <wp:extent cx="4352925" cy="1443355"/>
                      <wp:effectExtent b="4445" l="0" r="9525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352925" cy="1443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/>
                                <a:ext uri="{AF507438-7753-43E0-B8FC-AC1667EBCBE1}"/>
                              </a:extLst>
                            </wps:spPr>
                            <wps:bodyPr anchorCtr="0" anchor="t" bIns="0" lIns="0" rIns="0" rot="0" upright="1" vert="horz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36576" distT="36576" distL="36576" distR="36576" hidden="0" layoutInCell="1" locked="0" relativeHeight="0" simplePos="0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7239000</wp:posOffset>
                      </wp:positionV>
                      <wp:extent cx="4362450" cy="1447800"/>
                      <wp:effectExtent b="0" l="0" r="0" t="0"/>
                      <wp:wrapNone/>
                      <wp:docPr id="3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62450" cy="144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360" w:lineRule="auto"/>
              <w:jc w:val="center"/>
              <w:rPr>
                <w:smallCap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1"/>
                <w:sz w:val="28"/>
                <w:szCs w:val="28"/>
                <w:rtl w:val="0"/>
              </w:rPr>
              <w:t xml:space="preserve">MAXIMUM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360" w:lineRule="auto"/>
              <w:jc w:val="center"/>
              <w:rPr>
                <w:smallCap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1"/>
                <w:sz w:val="28"/>
                <w:szCs w:val="28"/>
                <w:rtl w:val="0"/>
              </w:rPr>
              <w:t xml:space="preserve">CANDIDATE’S SCORE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line="36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line="36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line="36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TOTAL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after="0" w:line="36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SECTION A. 25 MARKS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Answer all the questions in this section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one method used by the archeologist to determine the age of artifacts. </w:t>
        <w:br w:type="textWrapping"/>
        <w:t xml:space="preserve"> </w:t>
        <w:tab/>
        <w:tab/>
        <w:t xml:space="preserve">1 mk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Give two social reasons for the migration of the Nilotes into Kenya. </w:t>
        <w:tab/>
        <w:t xml:space="preserve">2mks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one role of the Njuri  Ncheke among the Ameru of Kenya in the pre-colonial period. </w:t>
        <w:tab/>
        <w:t xml:space="preserve">1mk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Give two written evidences of contact between the Kenyan coast and the outside world. </w:t>
        <w:tab/>
        <w:t xml:space="preserve">2mks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two natural factors that facilitated the coming of early visitors to the Kenya coast before the 1500AD . </w:t>
        <w:tab/>
        <w:t xml:space="preserve">Imk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Name the Portuguese commander who led in the conquest of the east African coast between 1500and 1511AD</w:t>
        <w:tab/>
        <w:t xml:space="preserve">1 mk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two characteristics of a good constitution </w:t>
        <w:tab/>
        <w:t xml:space="preserve">2mks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Name the treaty that marked the end of the scramble and partition of East Africa </w:t>
        <w:tab/>
        <w:t xml:space="preserve">1mk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State one settler grievance that led to the signing of the Devonshire white paper of 1923. </w:t>
        <w:tab/>
        <w:tab/>
        <w:t xml:space="preserve">1mk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Mention two factors that led to African influx into urban centers during the colonial period. </w:t>
        <w:tab/>
        <w:t xml:space="preserve">2mks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two economic challenges encountered by Kenyatta at independence. </w:t>
        <w:tab/>
        <w:t xml:space="preserve">2mks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State two ways in which the government of Kenya uphold the rule of law. </w:t>
        <w:tab/>
        <w:t xml:space="preserve">2mks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one organ of the Kenya Defense Forces. </w:t>
        <w:tab/>
        <w:t xml:space="preserve">1mk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State two pillars of Nyayoism </w:t>
        <w:tab/>
        <w:t xml:space="preserve">2mks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one type of land holding in Kenya. </w:t>
        <w:tab/>
        <w:t xml:space="preserve">1mk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Identify one function of the deputy governor. </w:t>
        <w:tab/>
        <w:t xml:space="preserve">1mk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900"/>
        </w:tabs>
        <w:spacing w:after="200" w:before="0" w:line="36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Mention one type of fund in which government revenue is deposited. </w:t>
        <w:tab/>
        <w:t xml:space="preserve">1mk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SECTION B. 45 MARKS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Answer any three questions in this section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 </w:t>
        <w:tab/>
        <w:t xml:space="preserve">Apart from the Maasai, name three other groups that make up the plain nilotes.</w:t>
        <w:br w:type="textWrapping"/>
        <w:t xml:space="preserve"> </w:t>
        <w:tab/>
        <w:t xml:space="preserve">3mks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 </w:t>
        <w:tab/>
        <w:t xml:space="preserve">Describe the political organization of the somali during the pre colonial period</w:t>
        <w:br w:type="textWrapping"/>
        <w:t xml:space="preserve"> </w:t>
        <w:tab/>
        <w:t xml:space="preserve">12mks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</w:t>
        <w:tab/>
        <w:t xml:space="preserve">List three methods used by the Europeans to occupy Kenya during the colonial period. </w:t>
        <w:tab/>
        <w:t xml:space="preserve">3mks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 </w:t>
        <w:tab/>
        <w:t xml:space="preserve">Explain the consequences of the Luo mixed reaction during the colonial period.</w:t>
        <w:br w:type="textWrapping"/>
        <w:t xml:space="preserve"> </w:t>
        <w:tab/>
        <w:t xml:space="preserve">12mks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</w:t>
        <w:tab/>
        <w:t xml:space="preserve">Highlight three levels of the colonial education in Kenya. </w:t>
        <w:tab/>
        <w:t xml:space="preserve">3mks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 </w:t>
        <w:tab/>
        <w:t xml:space="preserve">Explain six reasons why settlers farming was encouraged during the colonial period.</w:t>
        <w:tab/>
        <w:t xml:space="preserve">12mks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</w:t>
        <w:tab/>
        <w:t xml:space="preserve">State three characteristics of early political organizations in Kenya. </w:t>
        <w:tab/>
        <w:t xml:space="preserve">3mks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 </w:t>
        <w:tab/>
        <w:t xml:space="preserve">Discuss six factors that facilitated the Mau Mau war with the British during the colonial period. </w:t>
        <w:tab/>
        <w:t xml:space="preserve">12mks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SECTION C. 30MKS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Answer any three questions in this section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</w:t>
        <w:tab/>
        <w:t xml:space="preserve">give three ways in which citizenship by registration can be revoked.</w:t>
        <w:tab/>
        <w:t xml:space="preserve">3mks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 </w:t>
        <w:tab/>
        <w:t xml:space="preserve">Explain six factors that promote national unity in Kenya.</w:t>
        <w:tab/>
        <w:t xml:space="preserve">12mks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</w:t>
        <w:tab/>
        <w:t xml:space="preserve">state three disadvantages of democracy.3mks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 </w:t>
        <w:tab/>
        <w:t xml:space="preserve">Discuss the functions of the Kenya national human rights and equality commission.</w:t>
        <w:tab/>
        <w:t xml:space="preserve">12mks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a) </w:t>
        <w:tab/>
        <w:t xml:space="preserve">Identify the composition of the Senate. </w:t>
        <w:tab/>
        <w:t xml:space="preserve">3mks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right" w:pos="9810"/>
        </w:tabs>
        <w:spacing w:after="0" w:before="0" w:line="276" w:lineRule="auto"/>
        <w:ind w:left="1440" w:right="0" w:hanging="14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b)</w:t>
        <w:tab/>
        <w:t xml:space="preserve"> Explain six powers of the Kenyan president. </w:t>
        <w:tab/>
        <w:t xml:space="preserve">12mks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/>
      <w:pgMar w:bottom="1260" w:top="900" w:left="990" w:right="990" w:header="27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 Black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(%1)"/>
      <w:lvlJc w:val="left"/>
      <w:pPr>
        <w:ind w:left="360" w:hanging="360"/>
      </w:pPr>
      <w:rPr>
        <w:b w:val="0"/>
        <w:i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BE7D8C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77F8D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rsid w:val="00BE7D8C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 w:val="1"/>
    <w:rsid w:val="0050257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2576"/>
  </w:style>
  <w:style w:type="paragraph" w:styleId="Footer">
    <w:name w:val="footer"/>
    <w:basedOn w:val="Normal"/>
    <w:link w:val="FooterChar"/>
    <w:uiPriority w:val="99"/>
    <w:unhideWhenUsed w:val="1"/>
    <w:rsid w:val="0050257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2576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2019-09-18T11:15:00Z</dcterms:created>
  <dc:creator>Microsoft</dc:creator>
</cp:coreProperties>
</file>